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7A7381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eastAsia="en-IN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Pr="00A435D3" w:rsidRDefault="00A435D3" w:rsidP="00A435D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5D3">
        <w:rPr>
          <w:rFonts w:ascii="Times New Roman" w:hAnsi="Times New Roman" w:cs="Times New Roman"/>
          <w:b/>
          <w:sz w:val="24"/>
          <w:szCs w:val="24"/>
        </w:rPr>
        <w:t>Performance Specification and Evaluation with Unified Stochastic Probes and Fluid Analysis</w:t>
      </w:r>
    </w:p>
    <w:p w:rsidR="00A435D3" w:rsidRPr="00A435D3" w:rsidRDefault="00A435D3" w:rsidP="00A435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435D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IN"/>
        </w:rPr>
        <w:t>Abstract:</w:t>
      </w:r>
    </w:p>
    <w:p w:rsidR="00A435D3" w:rsidRPr="00A435D3" w:rsidRDefault="00A435D3" w:rsidP="00A435D3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</w:pPr>
      <w:r w:rsidRPr="00A435D3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Rapid and accessible performance evaluation of complex software systems requires two critical features: the ability to specify useful performance metrics easily and the capability to analyze massively distributed architectures, without recourse to large compute clusters. We present the unified stochastic probe, a performance specification mechanism for process algebra models that combines many existing ideas: state and action-based activation, location-based specification, many-probe specification, and immediate signaling. These features, between them, allow the precise and compositional construction of complex performance measurements. The paper shows how a subset of the stochastic probe language can be used to specify common response-time measures in massive process algebra models. The second contribution of the paper is to show how these response-time measures can be analyzed using so-called fluid techniques to produce rapid results. In doing this, we extend the fluid approach to incorporate immediate activities and a new type of response-time measure. Finally, we calculate various response-time measurements on a complex distributed wireless network of O(10</w:t>
      </w:r>
      <w:r w:rsidRPr="00A435D3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en-IN"/>
        </w:rPr>
        <w:t>129</w:t>
      </w:r>
      <w:r w:rsidRPr="00A435D3">
        <w:rPr>
          <w:rFonts w:ascii="Times New Roman" w:eastAsia="Times New Roman" w:hAnsi="Times New Roman" w:cs="Times New Roman"/>
          <w:color w:val="333333"/>
          <w:sz w:val="24"/>
          <w:szCs w:val="24"/>
          <w:lang w:eastAsia="en-IN"/>
        </w:rPr>
        <w:t>) states in size.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Pr="00086B01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sectPr w:rsidR="00031339" w:rsidRPr="00086B01" w:rsidSect="004F03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381" w:rsidRDefault="007A7381" w:rsidP="00086B01">
      <w:pPr>
        <w:spacing w:after="0" w:line="240" w:lineRule="auto"/>
      </w:pPr>
      <w:r>
        <w:separator/>
      </w:r>
    </w:p>
  </w:endnote>
  <w:endnote w:type="continuationSeparator" w:id="1">
    <w:p w:rsidR="007A7381" w:rsidRDefault="007A7381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381" w:rsidRDefault="007A7381" w:rsidP="00086B01">
      <w:pPr>
        <w:spacing w:after="0" w:line="240" w:lineRule="auto"/>
      </w:pPr>
      <w:r>
        <w:separator/>
      </w:r>
    </w:p>
  </w:footnote>
  <w:footnote w:type="continuationSeparator" w:id="1">
    <w:p w:rsidR="007A7381" w:rsidRDefault="007A7381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14318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14318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eastAsia="en-IN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14318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126B1"/>
    <w:multiLevelType w:val="hybridMultilevel"/>
    <w:tmpl w:val="35A8F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31339"/>
    <w:rsid w:val="00086B01"/>
    <w:rsid w:val="0014318A"/>
    <w:rsid w:val="002B44E2"/>
    <w:rsid w:val="00352800"/>
    <w:rsid w:val="00483465"/>
    <w:rsid w:val="004F03ED"/>
    <w:rsid w:val="007A7381"/>
    <w:rsid w:val="008B39E4"/>
    <w:rsid w:val="008B62B5"/>
    <w:rsid w:val="00A435D3"/>
    <w:rsid w:val="00D01D69"/>
    <w:rsid w:val="00ED48C9"/>
    <w:rsid w:val="00EE7735"/>
    <w:rsid w:val="00FA0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2B4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4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4E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435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MICANS</cp:lastModifiedBy>
  <cp:revision>2</cp:revision>
  <dcterms:created xsi:type="dcterms:W3CDTF">2018-09-18T07:45:00Z</dcterms:created>
  <dcterms:modified xsi:type="dcterms:W3CDTF">2018-09-18T07:45:00Z</dcterms:modified>
</cp:coreProperties>
</file>